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AF0" w:rsidRPr="00557AF0" w:rsidRDefault="00557AF0" w:rsidP="00557AF0">
      <w:pPr>
        <w:jc w:val="center"/>
        <w:rPr>
          <w:b/>
          <w:sz w:val="24"/>
          <w:szCs w:val="24"/>
        </w:rPr>
      </w:pPr>
      <w:bookmarkStart w:id="0" w:name="_GoBack"/>
      <w:bookmarkEnd w:id="0"/>
      <w:r w:rsidRPr="00557AF0">
        <w:rPr>
          <w:b/>
          <w:sz w:val="24"/>
          <w:szCs w:val="24"/>
        </w:rPr>
        <w:t>FAR Council Plan for Retrospective Analysis of Existing Rules – Status Update</w:t>
      </w:r>
      <w:r>
        <w:rPr>
          <w:b/>
          <w:sz w:val="24"/>
          <w:szCs w:val="24"/>
        </w:rPr>
        <w:t xml:space="preserve"> (January 2012)</w:t>
      </w:r>
    </w:p>
    <w:tbl>
      <w:tblPr>
        <w:tblStyle w:val="TableGrid"/>
        <w:tblW w:w="13500" w:type="dxa"/>
        <w:tblInd w:w="-162" w:type="dxa"/>
        <w:tblLayout w:type="fixed"/>
        <w:tblLook w:val="04A0"/>
      </w:tblPr>
      <w:tblGrid>
        <w:gridCol w:w="1350"/>
        <w:gridCol w:w="1170"/>
        <w:gridCol w:w="1620"/>
        <w:gridCol w:w="2160"/>
        <w:gridCol w:w="1350"/>
        <w:gridCol w:w="1440"/>
        <w:gridCol w:w="2700"/>
        <w:gridCol w:w="1710"/>
      </w:tblGrid>
      <w:tr w:rsidR="005D1F14" w:rsidTr="00557AF0">
        <w:tc>
          <w:tcPr>
            <w:tcW w:w="1350" w:type="dxa"/>
          </w:tcPr>
          <w:p w:rsidR="005D1F14" w:rsidRPr="007C3663" w:rsidRDefault="005D1F14">
            <w:pPr>
              <w:rPr>
                <w:b/>
              </w:rPr>
            </w:pPr>
            <w:r w:rsidRPr="007C3663">
              <w:rPr>
                <w:b/>
              </w:rPr>
              <w:t>Agency/Sub-agency</w:t>
            </w:r>
          </w:p>
        </w:tc>
        <w:tc>
          <w:tcPr>
            <w:tcW w:w="1170" w:type="dxa"/>
          </w:tcPr>
          <w:p w:rsidR="005D1F14" w:rsidRPr="007C3663" w:rsidRDefault="005D1F14">
            <w:pPr>
              <w:rPr>
                <w:b/>
              </w:rPr>
            </w:pPr>
            <w:r w:rsidRPr="007C3663">
              <w:rPr>
                <w:b/>
              </w:rPr>
              <w:t>RIN/OMB Control Number</w:t>
            </w:r>
          </w:p>
        </w:tc>
        <w:tc>
          <w:tcPr>
            <w:tcW w:w="1620" w:type="dxa"/>
          </w:tcPr>
          <w:p w:rsidR="005D1F14" w:rsidRPr="007C3663" w:rsidRDefault="005D1F14" w:rsidP="008B7D27">
            <w:pPr>
              <w:rPr>
                <w:b/>
              </w:rPr>
            </w:pPr>
            <w:r w:rsidRPr="007C3663">
              <w:rPr>
                <w:b/>
              </w:rPr>
              <w:t>Title of Initiative/Rule/ICR</w:t>
            </w:r>
          </w:p>
        </w:tc>
        <w:tc>
          <w:tcPr>
            <w:tcW w:w="2160" w:type="dxa"/>
          </w:tcPr>
          <w:p w:rsidR="005D1F14" w:rsidRPr="007C3663" w:rsidRDefault="005D1F14">
            <w:pPr>
              <w:rPr>
                <w:b/>
              </w:rPr>
            </w:pPr>
            <w:r w:rsidRPr="007C3663">
              <w:rPr>
                <w:b/>
              </w:rPr>
              <w:t>Brief Description</w:t>
            </w:r>
          </w:p>
        </w:tc>
        <w:tc>
          <w:tcPr>
            <w:tcW w:w="1350" w:type="dxa"/>
          </w:tcPr>
          <w:p w:rsidR="005D1F14" w:rsidRPr="007C3663" w:rsidRDefault="005D1F14">
            <w:pPr>
              <w:rPr>
                <w:b/>
              </w:rPr>
            </w:pPr>
            <w:r w:rsidRPr="007C3663">
              <w:rPr>
                <w:b/>
              </w:rPr>
              <w:t>Actual or Target Completion Date</w:t>
            </w:r>
          </w:p>
        </w:tc>
        <w:tc>
          <w:tcPr>
            <w:tcW w:w="1440" w:type="dxa"/>
          </w:tcPr>
          <w:p w:rsidR="005D1F14" w:rsidRPr="007C3663" w:rsidRDefault="005D1F14" w:rsidP="008B7D27">
            <w:pPr>
              <w:rPr>
                <w:b/>
              </w:rPr>
            </w:pPr>
            <w:r w:rsidRPr="007C3663">
              <w:rPr>
                <w:b/>
              </w:rPr>
              <w:t xml:space="preserve">Anticipated savings in costs and/or information collection burdens, together with any anticipated changes in benefits </w:t>
            </w:r>
          </w:p>
        </w:tc>
        <w:tc>
          <w:tcPr>
            <w:tcW w:w="2700" w:type="dxa"/>
          </w:tcPr>
          <w:p w:rsidR="005D1F14" w:rsidRPr="007C3663" w:rsidRDefault="005D1F14" w:rsidP="006F1DCE">
            <w:pPr>
              <w:rPr>
                <w:b/>
              </w:rPr>
            </w:pPr>
            <w:r w:rsidRPr="007C3663">
              <w:rPr>
                <w:b/>
              </w:rPr>
              <w:t>Progress updates and anticipated accomplishments</w:t>
            </w:r>
          </w:p>
        </w:tc>
        <w:tc>
          <w:tcPr>
            <w:tcW w:w="1710" w:type="dxa"/>
          </w:tcPr>
          <w:p w:rsidR="005D1F14" w:rsidRPr="007C3663" w:rsidRDefault="005D1F14" w:rsidP="00AE3DCF">
            <w:pPr>
              <w:jc w:val="center"/>
              <w:rPr>
                <w:b/>
              </w:rPr>
            </w:pPr>
            <w:r w:rsidRPr="007C3663">
              <w:rPr>
                <w:b/>
              </w:rPr>
              <w:t>Notes</w:t>
            </w:r>
          </w:p>
        </w:tc>
      </w:tr>
      <w:tr w:rsidR="005D1F14" w:rsidTr="00557AF0">
        <w:tc>
          <w:tcPr>
            <w:tcW w:w="1350" w:type="dxa"/>
          </w:tcPr>
          <w:p w:rsidR="005D1F14" w:rsidRDefault="00276BAD" w:rsidP="00276BAD">
            <w:r>
              <w:t>1. FAR Council</w:t>
            </w:r>
          </w:p>
        </w:tc>
        <w:tc>
          <w:tcPr>
            <w:tcW w:w="1170" w:type="dxa"/>
          </w:tcPr>
          <w:p w:rsidR="005D1F14" w:rsidRDefault="00276BAD">
            <w:r>
              <w:t>N/A</w:t>
            </w:r>
          </w:p>
        </w:tc>
        <w:tc>
          <w:tcPr>
            <w:tcW w:w="1620" w:type="dxa"/>
          </w:tcPr>
          <w:p w:rsidR="005D1F14" w:rsidRDefault="007C3663">
            <w:r>
              <w:t>Application of new regulatory requirements to commercial item acquisitions &amp; small (simplified) purchases</w:t>
            </w:r>
          </w:p>
        </w:tc>
        <w:tc>
          <w:tcPr>
            <w:tcW w:w="2160" w:type="dxa"/>
          </w:tcPr>
          <w:p w:rsidR="005D1F14" w:rsidRDefault="007C3663" w:rsidP="007C3663">
            <w:r>
              <w:t xml:space="preserve">Review approach taken by FAR </w:t>
            </w:r>
            <w:proofErr w:type="gramStart"/>
            <w:r>
              <w:t>Council</w:t>
            </w:r>
            <w:proofErr w:type="gramEnd"/>
            <w:r>
              <w:t xml:space="preserve"> to identifying whether new laws should be applied to acquisitions for commercial items, including commercially available off-the-shelf (COTS) items and acquisitions valued below the SAT.</w:t>
            </w:r>
          </w:p>
        </w:tc>
        <w:tc>
          <w:tcPr>
            <w:tcW w:w="1350" w:type="dxa"/>
          </w:tcPr>
          <w:p w:rsidR="005D1F14" w:rsidRDefault="00276BAD">
            <w:r>
              <w:t>End of second quarter of FY 2012</w:t>
            </w:r>
          </w:p>
        </w:tc>
        <w:tc>
          <w:tcPr>
            <w:tcW w:w="1440" w:type="dxa"/>
          </w:tcPr>
          <w:p w:rsidR="00276BAD" w:rsidRDefault="00276BAD">
            <w:r>
              <w:t>Improved economy and efficiency</w:t>
            </w:r>
          </w:p>
          <w:p w:rsidR="00276BAD" w:rsidRDefault="00276BAD"/>
          <w:p w:rsidR="005D1F14" w:rsidRDefault="00276BAD">
            <w:r>
              <w:t>Reduced barriers to entering the federal marketplace</w:t>
            </w:r>
          </w:p>
          <w:p w:rsidR="00276BAD" w:rsidRDefault="00276BAD"/>
          <w:p w:rsidR="00276BAD" w:rsidRDefault="00276BAD">
            <w:r>
              <w:t xml:space="preserve">Increased small business participation </w:t>
            </w:r>
          </w:p>
        </w:tc>
        <w:tc>
          <w:tcPr>
            <w:tcW w:w="2700" w:type="dxa"/>
          </w:tcPr>
          <w:p w:rsidR="005D1F14" w:rsidRDefault="009165B7" w:rsidP="0070619F">
            <w:r>
              <w:t xml:space="preserve">The FAR Council has been considering ways to </w:t>
            </w:r>
            <w:r w:rsidR="00325BD3">
              <w:t xml:space="preserve">better evaluate the burden of new laws and will </w:t>
            </w:r>
            <w:r w:rsidR="00897BF3">
              <w:t xml:space="preserve">conduct a </w:t>
            </w:r>
            <w:r w:rsidR="00325BD3">
              <w:t xml:space="preserve">pilot process in connection with the implementation of the FY 2012 NDAA where the public is invited to </w:t>
            </w:r>
            <w:r w:rsidR="0070619F">
              <w:t>provide input</w:t>
            </w:r>
            <w:r w:rsidR="00325BD3">
              <w:t xml:space="preserve"> on newly opened FAR cases for consideration by the </w:t>
            </w:r>
            <w:r w:rsidR="00276BAD">
              <w:t>regulat</w:t>
            </w:r>
            <w:r w:rsidR="0070619F">
              <w:t>ion</w:t>
            </w:r>
            <w:r w:rsidR="00276BAD">
              <w:t xml:space="preserve"> drafting teams</w:t>
            </w:r>
            <w:r w:rsidR="00897BF3">
              <w:t>.</w:t>
            </w:r>
            <w:r w:rsidR="00276BAD">
              <w:t xml:space="preserve">  Input regarding potential burden will be expressly welcome, especially for sellers of commercial items, COTS, and small purchases, and ways to minimize such burden if laws were to be applied to them.</w:t>
            </w:r>
          </w:p>
        </w:tc>
        <w:tc>
          <w:tcPr>
            <w:tcW w:w="1710" w:type="dxa"/>
          </w:tcPr>
          <w:p w:rsidR="005D1F14" w:rsidRDefault="005D1F14"/>
        </w:tc>
      </w:tr>
    </w:tbl>
    <w:p w:rsidR="00897BF3" w:rsidRDefault="00897BF3"/>
    <w:tbl>
      <w:tblPr>
        <w:tblStyle w:val="TableGrid"/>
        <w:tblW w:w="13500" w:type="dxa"/>
        <w:tblInd w:w="-162" w:type="dxa"/>
        <w:tblLayout w:type="fixed"/>
        <w:tblLook w:val="04A0"/>
      </w:tblPr>
      <w:tblGrid>
        <w:gridCol w:w="1350"/>
        <w:gridCol w:w="1170"/>
        <w:gridCol w:w="1620"/>
        <w:gridCol w:w="2160"/>
        <w:gridCol w:w="1350"/>
        <w:gridCol w:w="1440"/>
        <w:gridCol w:w="2610"/>
        <w:gridCol w:w="1800"/>
      </w:tblGrid>
      <w:tr w:rsidR="005D1F14" w:rsidTr="00AE3DCF">
        <w:tc>
          <w:tcPr>
            <w:tcW w:w="1350" w:type="dxa"/>
          </w:tcPr>
          <w:p w:rsidR="005D1F14" w:rsidRDefault="005D1F14">
            <w:r>
              <w:t>2.</w:t>
            </w:r>
            <w:r w:rsidR="00A978BC">
              <w:t xml:space="preserve"> FAR Council</w:t>
            </w:r>
          </w:p>
        </w:tc>
        <w:tc>
          <w:tcPr>
            <w:tcW w:w="1170" w:type="dxa"/>
          </w:tcPr>
          <w:p w:rsidR="005D1F14" w:rsidRDefault="00264462">
            <w:r>
              <w:t>N/A</w:t>
            </w:r>
          </w:p>
        </w:tc>
        <w:tc>
          <w:tcPr>
            <w:tcW w:w="1620" w:type="dxa"/>
          </w:tcPr>
          <w:p w:rsidR="005D1F14" w:rsidRDefault="002424EA">
            <w:r>
              <w:t>Quick pay to small businesses</w:t>
            </w:r>
          </w:p>
        </w:tc>
        <w:tc>
          <w:tcPr>
            <w:tcW w:w="2160" w:type="dxa"/>
          </w:tcPr>
          <w:p w:rsidR="005D1F14" w:rsidRDefault="002424EA">
            <w:r>
              <w:t>Explore opportunities to accelerate payments to small businesses</w:t>
            </w:r>
          </w:p>
        </w:tc>
        <w:tc>
          <w:tcPr>
            <w:tcW w:w="1350" w:type="dxa"/>
          </w:tcPr>
          <w:p w:rsidR="005D1F14" w:rsidRDefault="00875710">
            <w:r>
              <w:t>Fall 2011</w:t>
            </w:r>
          </w:p>
        </w:tc>
        <w:tc>
          <w:tcPr>
            <w:tcW w:w="1440" w:type="dxa"/>
          </w:tcPr>
          <w:p w:rsidR="005D1F14" w:rsidRDefault="00875710">
            <w:r>
              <w:t>Reduced barriers to entry</w:t>
            </w:r>
          </w:p>
          <w:p w:rsidR="00875710" w:rsidRDefault="00875710"/>
          <w:p w:rsidR="00875710" w:rsidRDefault="00875710">
            <w:r>
              <w:t>Increased small business participation</w:t>
            </w:r>
          </w:p>
        </w:tc>
        <w:tc>
          <w:tcPr>
            <w:tcW w:w="2610" w:type="dxa"/>
          </w:tcPr>
          <w:p w:rsidR="00897BF3" w:rsidRDefault="00875710" w:rsidP="00897BF3">
            <w:r>
              <w:t xml:space="preserve">OMB issued government-wide guidance to agencies on September 14, 2011, establishing that, to the full extent permitted by law, agencies shall make their payments to small business contractors as soon as practicable, with the goal of making payments within 15 days of such receipt. </w:t>
            </w:r>
            <w:r w:rsidR="00897BF3">
              <w:t xml:space="preserve"> In addition, opportunities are being explored with respect to accelerating payments to small business subcontractors that might build on SBA’s implementation of section 1334 of the Small Business Jobs Act addressing payment of subcontractors.</w:t>
            </w:r>
          </w:p>
          <w:p w:rsidR="005D1F14" w:rsidRDefault="005D1F14" w:rsidP="00AE3DCF"/>
        </w:tc>
        <w:tc>
          <w:tcPr>
            <w:tcW w:w="1800" w:type="dxa"/>
          </w:tcPr>
          <w:p w:rsidR="00AD382F" w:rsidRDefault="00897BF3" w:rsidP="00897BF3">
            <w:r>
              <w:t xml:space="preserve"> </w:t>
            </w:r>
            <w:r w:rsidR="00AD382F">
              <w:t xml:space="preserve">SBA issued a proposed rule on </w:t>
            </w:r>
            <w:r w:rsidR="00264462">
              <w:t>October 5, 2011</w:t>
            </w:r>
            <w:r w:rsidR="00AD382F">
              <w:t xml:space="preserve"> to implement section 1334</w:t>
            </w:r>
            <w:r>
              <w:t xml:space="preserve"> of the Jobs Act.</w:t>
            </w:r>
          </w:p>
        </w:tc>
      </w:tr>
      <w:tr w:rsidR="005D1F14" w:rsidTr="00AE3DCF">
        <w:tc>
          <w:tcPr>
            <w:tcW w:w="1350" w:type="dxa"/>
          </w:tcPr>
          <w:p w:rsidR="005D1F14" w:rsidRDefault="005D1F14">
            <w:r>
              <w:t>3.</w:t>
            </w:r>
            <w:r w:rsidR="00A978BC">
              <w:t xml:space="preserve"> FAR Council</w:t>
            </w:r>
          </w:p>
        </w:tc>
        <w:tc>
          <w:tcPr>
            <w:tcW w:w="1170" w:type="dxa"/>
          </w:tcPr>
          <w:p w:rsidR="005D1F14" w:rsidRDefault="00264462">
            <w:r>
              <w:t>N/A</w:t>
            </w:r>
          </w:p>
        </w:tc>
        <w:tc>
          <w:tcPr>
            <w:tcW w:w="1620" w:type="dxa"/>
          </w:tcPr>
          <w:p w:rsidR="005D1F14" w:rsidRDefault="00875710" w:rsidP="00AE3DCF">
            <w:r>
              <w:t xml:space="preserve">Improved </w:t>
            </w:r>
            <w:r w:rsidRPr="00AE3DCF">
              <w:rPr>
                <w:sz w:val="20"/>
                <w:szCs w:val="20"/>
              </w:rPr>
              <w:t>communication</w:t>
            </w:r>
            <w:r w:rsidR="00AE3DCF">
              <w:rPr>
                <w:sz w:val="20"/>
                <w:szCs w:val="20"/>
              </w:rPr>
              <w:t>s</w:t>
            </w:r>
            <w:r>
              <w:t xml:space="preserve"> with vendors</w:t>
            </w:r>
          </w:p>
        </w:tc>
        <w:tc>
          <w:tcPr>
            <w:tcW w:w="2160" w:type="dxa"/>
          </w:tcPr>
          <w:p w:rsidR="005D1F14" w:rsidRDefault="00E54AAC">
            <w:r>
              <w:t xml:space="preserve">Review regulatory requirements governing exchanges with industry before contract award to determine if misunderstanding or unclear </w:t>
            </w:r>
            <w:r>
              <w:lastRenderedPageBreak/>
              <w:t>understanding of FAR authorities is contributing to reluctance to communicate with industry.</w:t>
            </w:r>
          </w:p>
        </w:tc>
        <w:tc>
          <w:tcPr>
            <w:tcW w:w="1350" w:type="dxa"/>
          </w:tcPr>
          <w:p w:rsidR="005D1F14" w:rsidRDefault="006F1DCE">
            <w:r>
              <w:lastRenderedPageBreak/>
              <w:t xml:space="preserve">Fall </w:t>
            </w:r>
            <w:r w:rsidR="00E54AAC">
              <w:t>2012</w:t>
            </w:r>
          </w:p>
        </w:tc>
        <w:tc>
          <w:tcPr>
            <w:tcW w:w="1440" w:type="dxa"/>
          </w:tcPr>
          <w:p w:rsidR="005D1F14" w:rsidRDefault="00875710">
            <w:r>
              <w:t>Improved economy and efficiency</w:t>
            </w:r>
          </w:p>
          <w:p w:rsidR="00875710" w:rsidRDefault="00875710"/>
          <w:p w:rsidR="00875710" w:rsidRDefault="00875710">
            <w:r>
              <w:t>Reduced barriers to entry</w:t>
            </w:r>
          </w:p>
        </w:tc>
        <w:tc>
          <w:tcPr>
            <w:tcW w:w="2610" w:type="dxa"/>
          </w:tcPr>
          <w:p w:rsidR="005D1F14" w:rsidRDefault="00A978BC">
            <w:r>
              <w:t>The FAR Council, in coordination with OFPP’s “</w:t>
            </w:r>
            <w:proofErr w:type="spellStart"/>
            <w:r>
              <w:t>mythbusting</w:t>
            </w:r>
            <w:proofErr w:type="spellEnd"/>
            <w:r>
              <w:t xml:space="preserve"> campaign,” is reviewing coverage in FAR 15.201 and 15.306 to assess if there are opportunities to clarify guidance so that agencies </w:t>
            </w:r>
            <w:r>
              <w:lastRenderedPageBreak/>
              <w:t>take full advantage of flexibilities for enhanced vendor communications.</w:t>
            </w:r>
          </w:p>
        </w:tc>
        <w:tc>
          <w:tcPr>
            <w:tcW w:w="1800" w:type="dxa"/>
          </w:tcPr>
          <w:p w:rsidR="005D1F14" w:rsidRDefault="005D1F14"/>
        </w:tc>
      </w:tr>
      <w:tr w:rsidR="005D1F14" w:rsidTr="00AE3DCF">
        <w:tc>
          <w:tcPr>
            <w:tcW w:w="1350" w:type="dxa"/>
          </w:tcPr>
          <w:p w:rsidR="005D1F14" w:rsidRDefault="005D1F14">
            <w:r>
              <w:lastRenderedPageBreak/>
              <w:t>4.</w:t>
            </w:r>
            <w:r w:rsidR="00A978BC">
              <w:t xml:space="preserve"> FAR Council</w:t>
            </w:r>
          </w:p>
        </w:tc>
        <w:tc>
          <w:tcPr>
            <w:tcW w:w="1170" w:type="dxa"/>
          </w:tcPr>
          <w:p w:rsidR="005D1F14" w:rsidRDefault="00264462">
            <w:r>
              <w:t>N/A</w:t>
            </w:r>
          </w:p>
        </w:tc>
        <w:tc>
          <w:tcPr>
            <w:tcW w:w="1620" w:type="dxa"/>
          </w:tcPr>
          <w:p w:rsidR="005D1F14" w:rsidRDefault="00A978BC">
            <w:r>
              <w:t>Reduce number of competitions that result in only one offer</w:t>
            </w:r>
          </w:p>
        </w:tc>
        <w:tc>
          <w:tcPr>
            <w:tcW w:w="2160" w:type="dxa"/>
          </w:tcPr>
          <w:p w:rsidR="005D1F14" w:rsidRDefault="00A978BC">
            <w:r>
              <w:t>Consider whether tailored regulatory changes might assist agencies in their efforts to increase contractor interest in competitions that have received only one offer.</w:t>
            </w:r>
          </w:p>
        </w:tc>
        <w:tc>
          <w:tcPr>
            <w:tcW w:w="1350" w:type="dxa"/>
          </w:tcPr>
          <w:p w:rsidR="005D1F14" w:rsidRDefault="006F1DCE">
            <w:r>
              <w:t>Fall</w:t>
            </w:r>
            <w:r w:rsidR="00A978BC">
              <w:t xml:space="preserve"> 2012</w:t>
            </w:r>
          </w:p>
        </w:tc>
        <w:tc>
          <w:tcPr>
            <w:tcW w:w="1440" w:type="dxa"/>
          </w:tcPr>
          <w:p w:rsidR="005D1F14" w:rsidRDefault="00A978BC">
            <w:r>
              <w:t>Reduced exposure to high risk</w:t>
            </w:r>
          </w:p>
          <w:p w:rsidR="00A978BC" w:rsidRDefault="00A978BC"/>
          <w:p w:rsidR="00A978BC" w:rsidRDefault="00A978BC">
            <w:r>
              <w:t xml:space="preserve">Better pricing and terms and conditions through improved use of competition </w:t>
            </w:r>
          </w:p>
        </w:tc>
        <w:tc>
          <w:tcPr>
            <w:tcW w:w="2610" w:type="dxa"/>
          </w:tcPr>
          <w:p w:rsidR="005D1F14" w:rsidRDefault="00264462" w:rsidP="00F96F63">
            <w:r>
              <w:t xml:space="preserve">The FAR Council </w:t>
            </w:r>
            <w:r w:rsidR="001E4CEE">
              <w:t xml:space="preserve">is exploring </w:t>
            </w:r>
            <w:r w:rsidR="003A75B3">
              <w:t>options</w:t>
            </w:r>
            <w:r w:rsidR="001E4CEE">
              <w:t xml:space="preserve"> </w:t>
            </w:r>
            <w:r w:rsidR="003A75B3">
              <w:t xml:space="preserve">for reducing the number of competitions resulting in only one offer, </w:t>
            </w:r>
            <w:r>
              <w:t xml:space="preserve">which could include clarifying </w:t>
            </w:r>
            <w:r w:rsidR="005859CD">
              <w:t>the r</w:t>
            </w:r>
            <w:r>
              <w:t xml:space="preserve">ole of the competition advocate and/or the use of </w:t>
            </w:r>
            <w:r w:rsidR="00990C17">
              <w:t>elevated review and approvals,</w:t>
            </w:r>
            <w:r w:rsidR="005859CD">
              <w:t xml:space="preserve"> </w:t>
            </w:r>
            <w:r>
              <w:t xml:space="preserve">improved up front analysis of the </w:t>
            </w:r>
            <w:r w:rsidR="009B762A">
              <w:t xml:space="preserve">factors that influence </w:t>
            </w:r>
            <w:r w:rsidR="005859CD">
              <w:t xml:space="preserve">industry </w:t>
            </w:r>
            <w:r w:rsidR="009B762A">
              <w:t xml:space="preserve">bid/no-bid decisions, </w:t>
            </w:r>
            <w:r>
              <w:t xml:space="preserve">and improved </w:t>
            </w:r>
            <w:r w:rsidR="001E4CEE">
              <w:t>government outreach and vendor engagement</w:t>
            </w:r>
            <w:r>
              <w:t xml:space="preserve">.  The Council is also </w:t>
            </w:r>
            <w:r w:rsidR="003A75B3">
              <w:t xml:space="preserve">reviewing </w:t>
            </w:r>
            <w:proofErr w:type="spellStart"/>
            <w:r>
              <w:t>DoD’s</w:t>
            </w:r>
            <w:proofErr w:type="spellEnd"/>
            <w:r>
              <w:t xml:space="preserve"> proposed supplement to the FAR</w:t>
            </w:r>
            <w:r w:rsidR="003A75B3">
              <w:t xml:space="preserve"> </w:t>
            </w:r>
            <w:r>
              <w:t xml:space="preserve">addressing one-bid competitions and public comment </w:t>
            </w:r>
            <w:r w:rsidR="003A75B3">
              <w:t xml:space="preserve">on </w:t>
            </w:r>
            <w:r w:rsidR="00F96F63">
              <w:t>its</w:t>
            </w:r>
            <w:r>
              <w:t xml:space="preserve"> rule</w:t>
            </w:r>
            <w:r w:rsidR="003A75B3">
              <w:t>.</w:t>
            </w:r>
            <w:r w:rsidR="001E4CEE">
              <w:t xml:space="preserve"> </w:t>
            </w:r>
          </w:p>
        </w:tc>
        <w:tc>
          <w:tcPr>
            <w:tcW w:w="1800" w:type="dxa"/>
          </w:tcPr>
          <w:p w:rsidR="005D1F14" w:rsidRDefault="005D1F14" w:rsidP="009B762A"/>
        </w:tc>
      </w:tr>
      <w:tr w:rsidR="005D1F14" w:rsidTr="00AE3DCF">
        <w:tc>
          <w:tcPr>
            <w:tcW w:w="1350" w:type="dxa"/>
          </w:tcPr>
          <w:p w:rsidR="005D1F14" w:rsidRDefault="005D1F14">
            <w:r>
              <w:t>5.</w:t>
            </w:r>
            <w:r w:rsidR="006F1DCE">
              <w:t xml:space="preserve"> FAR Council</w:t>
            </w:r>
          </w:p>
        </w:tc>
        <w:tc>
          <w:tcPr>
            <w:tcW w:w="1170" w:type="dxa"/>
          </w:tcPr>
          <w:p w:rsidR="005D1F14" w:rsidRDefault="00F96F63">
            <w:r>
              <w:t>N/A</w:t>
            </w:r>
          </w:p>
        </w:tc>
        <w:tc>
          <w:tcPr>
            <w:tcW w:w="1620" w:type="dxa"/>
          </w:tcPr>
          <w:p w:rsidR="005D1F14" w:rsidRDefault="006F1DCE">
            <w:r>
              <w:t xml:space="preserve">Revisit process for reviewing past performance information </w:t>
            </w:r>
          </w:p>
        </w:tc>
        <w:tc>
          <w:tcPr>
            <w:tcW w:w="2160" w:type="dxa"/>
          </w:tcPr>
          <w:p w:rsidR="005D1F14" w:rsidRDefault="006F1DCE" w:rsidP="006F1DCE">
            <w:r>
              <w:t xml:space="preserve">Consider benefits and drawbacks of eliminating appeals process from past performance policies </w:t>
            </w:r>
            <w:r>
              <w:lastRenderedPageBreak/>
              <w:t>that currently provide for review of evaluations at a level above the contracting officer.</w:t>
            </w:r>
          </w:p>
        </w:tc>
        <w:tc>
          <w:tcPr>
            <w:tcW w:w="1350" w:type="dxa"/>
          </w:tcPr>
          <w:p w:rsidR="005D1F14" w:rsidRDefault="006F1DCE">
            <w:r>
              <w:lastRenderedPageBreak/>
              <w:t>Fall 2012</w:t>
            </w:r>
          </w:p>
        </w:tc>
        <w:tc>
          <w:tcPr>
            <w:tcW w:w="1440" w:type="dxa"/>
          </w:tcPr>
          <w:p w:rsidR="005D1F14" w:rsidRDefault="006F1DCE" w:rsidP="006F1DCE">
            <w:r>
              <w:t>Improved economy and efficiency</w:t>
            </w:r>
          </w:p>
        </w:tc>
        <w:tc>
          <w:tcPr>
            <w:tcW w:w="2610" w:type="dxa"/>
          </w:tcPr>
          <w:p w:rsidR="005D1F14" w:rsidRDefault="006F1DCE">
            <w:r>
              <w:t>The FAR Council intends to issue a notice seeking public input on this policy question.</w:t>
            </w:r>
          </w:p>
        </w:tc>
        <w:tc>
          <w:tcPr>
            <w:tcW w:w="1800" w:type="dxa"/>
          </w:tcPr>
          <w:p w:rsidR="005D1F14" w:rsidRDefault="005D1F14"/>
        </w:tc>
      </w:tr>
      <w:tr w:rsidR="005D1F14" w:rsidTr="00AE3DCF">
        <w:tc>
          <w:tcPr>
            <w:tcW w:w="1350" w:type="dxa"/>
          </w:tcPr>
          <w:p w:rsidR="005D1F14" w:rsidRDefault="005D1F14" w:rsidP="006F1DCE">
            <w:r>
              <w:lastRenderedPageBreak/>
              <w:t>6.</w:t>
            </w:r>
            <w:r w:rsidR="006F1DCE">
              <w:t xml:space="preserve"> FAR Council </w:t>
            </w:r>
          </w:p>
        </w:tc>
        <w:tc>
          <w:tcPr>
            <w:tcW w:w="1170" w:type="dxa"/>
          </w:tcPr>
          <w:p w:rsidR="005D1F14" w:rsidRDefault="00EB6FFA" w:rsidP="006F1DCE">
            <w:pPr>
              <w:rPr>
                <w:bCs/>
              </w:rPr>
            </w:pPr>
            <w:r>
              <w:rPr>
                <w:bCs/>
              </w:rPr>
              <w:t xml:space="preserve">FAR rule: </w:t>
            </w:r>
            <w:r w:rsidRPr="00EB6FFA">
              <w:rPr>
                <w:bCs/>
              </w:rPr>
              <w:t>RIN 9000–AM12</w:t>
            </w:r>
          </w:p>
          <w:p w:rsidR="00EB6FFA" w:rsidRDefault="00EB6FFA" w:rsidP="006F1DCE">
            <w:pPr>
              <w:rPr>
                <w:bCs/>
              </w:rPr>
            </w:pPr>
          </w:p>
          <w:p w:rsidR="00EB6FFA" w:rsidRDefault="00EB6FFA" w:rsidP="006F1DCE">
            <w:pPr>
              <w:rPr>
                <w:bCs/>
              </w:rPr>
            </w:pPr>
          </w:p>
          <w:p w:rsidR="00EB6FFA" w:rsidRDefault="00EB6FFA" w:rsidP="006F1DCE">
            <w:pPr>
              <w:rPr>
                <w:bCs/>
              </w:rPr>
            </w:pPr>
          </w:p>
          <w:p w:rsidR="00EB6FFA" w:rsidRDefault="00EB6FFA" w:rsidP="006F1DCE">
            <w:pPr>
              <w:rPr>
                <w:bCs/>
              </w:rPr>
            </w:pPr>
          </w:p>
          <w:p w:rsidR="00EB6FFA" w:rsidRPr="00EB6FFA" w:rsidRDefault="00EB6FFA" w:rsidP="006F1DCE"/>
        </w:tc>
        <w:tc>
          <w:tcPr>
            <w:tcW w:w="1620" w:type="dxa"/>
          </w:tcPr>
          <w:p w:rsidR="005D1F14" w:rsidRDefault="006F1DCE" w:rsidP="006F1DCE">
            <w:r>
              <w:t>Work with SBA to modernize rules of using contract set-asides and small business subcontracting plans</w:t>
            </w:r>
          </w:p>
        </w:tc>
        <w:tc>
          <w:tcPr>
            <w:tcW w:w="2160" w:type="dxa"/>
          </w:tcPr>
          <w:p w:rsidR="005D1F14" w:rsidRDefault="005D1F14" w:rsidP="006F1DCE"/>
        </w:tc>
        <w:tc>
          <w:tcPr>
            <w:tcW w:w="1350" w:type="dxa"/>
          </w:tcPr>
          <w:p w:rsidR="005D1F14" w:rsidRDefault="005D1F14" w:rsidP="006F1DCE"/>
        </w:tc>
        <w:tc>
          <w:tcPr>
            <w:tcW w:w="1440" w:type="dxa"/>
          </w:tcPr>
          <w:p w:rsidR="005D1F14" w:rsidRDefault="006F1DCE" w:rsidP="006F1DCE">
            <w:r>
              <w:t>Reduced barriers to entry</w:t>
            </w:r>
          </w:p>
          <w:p w:rsidR="006F1DCE" w:rsidRDefault="006F1DCE" w:rsidP="006F1DCE"/>
          <w:p w:rsidR="006F1DCE" w:rsidRDefault="006F1DCE" w:rsidP="006F1DCE">
            <w:r>
              <w:t>Increased small business participation</w:t>
            </w:r>
          </w:p>
        </w:tc>
        <w:tc>
          <w:tcPr>
            <w:tcW w:w="2610" w:type="dxa"/>
          </w:tcPr>
          <w:p w:rsidR="00AD382F" w:rsidRDefault="00AD382F" w:rsidP="00AD382F">
            <w:r>
              <w:t>FAR Council issued an interim rule on November 2, 2011</w:t>
            </w:r>
            <w:r w:rsidR="0070619F">
              <w:t>,</w:t>
            </w:r>
            <w:r>
              <w:t xml:space="preserve"> to provide agencies with initial guidance to take advantage of set-aside and reserve authorities provided in section 1331 of the Small Business Jobs Act while SBA completes drafting and coordination of its proposed rule setting forth more complete guidance.</w:t>
            </w:r>
          </w:p>
        </w:tc>
        <w:tc>
          <w:tcPr>
            <w:tcW w:w="1800" w:type="dxa"/>
          </w:tcPr>
          <w:p w:rsidR="005D1F14" w:rsidRDefault="00AD382F" w:rsidP="00AD382F">
            <w:r>
              <w:t xml:space="preserve">FAR Council extended the public comment period on its interim FAR rule by 30 days. </w:t>
            </w:r>
          </w:p>
          <w:p w:rsidR="00AD382F" w:rsidRDefault="00AD382F" w:rsidP="00AD382F"/>
          <w:p w:rsidR="00AD382F" w:rsidRDefault="00AD382F" w:rsidP="006C496E">
            <w:r>
              <w:t xml:space="preserve">SBA issued a proposed rule on </w:t>
            </w:r>
            <w:r w:rsidR="00EB6FFA" w:rsidRPr="00264462">
              <w:t>October 5, 2011</w:t>
            </w:r>
            <w:r>
              <w:t xml:space="preserve"> to implement section 1322 of the Jobs Act addressing requirements for </w:t>
            </w:r>
            <w:r w:rsidR="00F96F63">
              <w:t>s</w:t>
            </w:r>
            <w:r>
              <w:t>ubcontracting plans.</w:t>
            </w:r>
          </w:p>
        </w:tc>
      </w:tr>
      <w:tr w:rsidR="005D1F14" w:rsidTr="00897BF3">
        <w:trPr>
          <w:trHeight w:val="3500"/>
        </w:trPr>
        <w:tc>
          <w:tcPr>
            <w:tcW w:w="1350" w:type="dxa"/>
          </w:tcPr>
          <w:p w:rsidR="005D1F14" w:rsidRDefault="00190863" w:rsidP="006F1DCE">
            <w:r>
              <w:lastRenderedPageBreak/>
              <w:t>7.</w:t>
            </w:r>
            <w:r w:rsidR="006F1DCE">
              <w:t xml:space="preserve"> FAR Council</w:t>
            </w:r>
          </w:p>
        </w:tc>
        <w:tc>
          <w:tcPr>
            <w:tcW w:w="1170" w:type="dxa"/>
          </w:tcPr>
          <w:p w:rsidR="005E0FCE" w:rsidRDefault="005E0FCE" w:rsidP="006F1DCE">
            <w:r>
              <w:t>OCI:</w:t>
            </w:r>
            <w:r w:rsidRPr="005E0FCE">
              <w:rPr>
                <w:rFonts w:ascii="Helvetica-Bold" w:hAnsi="Helvetica-Bold" w:cs="Helvetica-Bold"/>
                <w:b/>
                <w:bCs/>
                <w:sz w:val="16"/>
                <w:szCs w:val="16"/>
              </w:rPr>
              <w:t xml:space="preserve"> </w:t>
            </w:r>
            <w:r w:rsidRPr="005E0FCE">
              <w:rPr>
                <w:bCs/>
              </w:rPr>
              <w:t>RIN 9000–AL82</w:t>
            </w:r>
          </w:p>
          <w:p w:rsidR="005E0FCE" w:rsidRDefault="005E0FCE" w:rsidP="006F1DCE"/>
          <w:p w:rsidR="005E0FCE" w:rsidRDefault="005E0FCE" w:rsidP="006F1DCE">
            <w:r>
              <w:t xml:space="preserve">PCI: </w:t>
            </w:r>
            <w:r w:rsidRPr="005E0FCE">
              <w:rPr>
                <w:bCs/>
              </w:rPr>
              <w:t>RIN 9000–AL46</w:t>
            </w:r>
          </w:p>
        </w:tc>
        <w:tc>
          <w:tcPr>
            <w:tcW w:w="1620" w:type="dxa"/>
          </w:tcPr>
          <w:p w:rsidR="005D1F14" w:rsidRDefault="005D1F14" w:rsidP="006F1DCE">
            <w:r>
              <w:t>Restructure rules addressing conflicts of interest – Organizational Conflicts of Interest (OCIs) and Personal Conflicts of Interest (PCIs)</w:t>
            </w:r>
          </w:p>
        </w:tc>
        <w:tc>
          <w:tcPr>
            <w:tcW w:w="2160" w:type="dxa"/>
          </w:tcPr>
          <w:p w:rsidR="005D1F14" w:rsidRDefault="005D1F14" w:rsidP="005D1F14">
            <w:r>
              <w:t>Rulemaking to update OCI coverage (unchanged since 1984) and to implement PCI coverage.</w:t>
            </w:r>
          </w:p>
        </w:tc>
        <w:tc>
          <w:tcPr>
            <w:tcW w:w="1350" w:type="dxa"/>
          </w:tcPr>
          <w:p w:rsidR="005D1F14" w:rsidRDefault="005D1F14" w:rsidP="006F1DCE">
            <w:r>
              <w:t>OCI Final Rule: Fall 2012</w:t>
            </w:r>
          </w:p>
          <w:p w:rsidR="005D1F14" w:rsidRDefault="005D1F14" w:rsidP="006F1DCE"/>
          <w:p w:rsidR="005D1F14" w:rsidRDefault="005D1F14" w:rsidP="006F1DCE">
            <w:r>
              <w:t>PCI Final Rule:</w:t>
            </w:r>
          </w:p>
          <w:p w:rsidR="005D1F14" w:rsidRDefault="005D1F14" w:rsidP="00897BF3">
            <w:r>
              <w:t>Completed Nov. 2, 2012</w:t>
            </w:r>
            <w:r w:rsidR="00190863">
              <w:t xml:space="preserve"> (ahead of anticipated December publication date)</w:t>
            </w:r>
          </w:p>
        </w:tc>
        <w:tc>
          <w:tcPr>
            <w:tcW w:w="1440" w:type="dxa"/>
          </w:tcPr>
          <w:p w:rsidR="005D1F14" w:rsidRDefault="005D1F14" w:rsidP="006F1DCE">
            <w:r>
              <w:t xml:space="preserve">Updated OCI coverage and newly-implemented PCI coverage will enhance integrity and business ethics.  </w:t>
            </w:r>
          </w:p>
        </w:tc>
        <w:tc>
          <w:tcPr>
            <w:tcW w:w="2610" w:type="dxa"/>
          </w:tcPr>
          <w:p w:rsidR="005D1F14" w:rsidRDefault="005D1F14" w:rsidP="005D1F14">
            <w:r>
              <w:t>OCI: The FAR Council is considering public comments in the formulation of a final rule.</w:t>
            </w:r>
          </w:p>
          <w:p w:rsidR="005D1F14" w:rsidRDefault="005D1F14" w:rsidP="005D1F14"/>
          <w:p w:rsidR="005D1F14" w:rsidRDefault="005D1F14" w:rsidP="005D1F14">
            <w:r>
              <w:t>PCI: Final rule published, comment period for additional outreach notice closed Jan. 3, 2012.</w:t>
            </w:r>
          </w:p>
        </w:tc>
        <w:tc>
          <w:tcPr>
            <w:tcW w:w="1800" w:type="dxa"/>
          </w:tcPr>
          <w:p w:rsidR="005D1F14" w:rsidRDefault="005D1F14" w:rsidP="006F1DCE">
            <w:r>
              <w:t>Review of whether additional PCI coverage is necessary will be completed by Summer 2012.</w:t>
            </w:r>
          </w:p>
        </w:tc>
      </w:tr>
      <w:tr w:rsidR="005D1F14" w:rsidTr="00AE3DCF">
        <w:tc>
          <w:tcPr>
            <w:tcW w:w="1350" w:type="dxa"/>
          </w:tcPr>
          <w:p w:rsidR="005D1F14" w:rsidRDefault="005D1F14">
            <w:r>
              <w:t>8.</w:t>
            </w:r>
            <w:r w:rsidR="006F1DCE">
              <w:t xml:space="preserve"> FAR Council </w:t>
            </w:r>
          </w:p>
        </w:tc>
        <w:tc>
          <w:tcPr>
            <w:tcW w:w="1170" w:type="dxa"/>
          </w:tcPr>
          <w:p w:rsidR="005D1F14" w:rsidRPr="009915FC" w:rsidRDefault="009915FC">
            <w:r w:rsidRPr="009915FC">
              <w:rPr>
                <w:bCs/>
              </w:rPr>
              <w:t>RIN 9000–AL93</w:t>
            </w:r>
          </w:p>
        </w:tc>
        <w:tc>
          <w:tcPr>
            <w:tcW w:w="1620" w:type="dxa"/>
          </w:tcPr>
          <w:p w:rsidR="005D1F14" w:rsidRDefault="008B7D27">
            <w:r>
              <w:t xml:space="preserve">Use of competition for blanket purchase agreements </w:t>
            </w:r>
          </w:p>
        </w:tc>
        <w:tc>
          <w:tcPr>
            <w:tcW w:w="2160" w:type="dxa"/>
          </w:tcPr>
          <w:p w:rsidR="005D1F14" w:rsidRDefault="008B7D27" w:rsidP="008B7D27">
            <w:r>
              <w:rPr>
                <w:shd w:val="clear" w:color="auto" w:fill="FFFFFF"/>
              </w:rPr>
              <w:t xml:space="preserve">Strengthen the competition rules for placing orders under multiple award contracts, </w:t>
            </w:r>
            <w:r w:rsidR="006C496E">
              <w:rPr>
                <w:shd w:val="clear" w:color="auto" w:fill="FFFFFF"/>
              </w:rPr>
              <w:t xml:space="preserve">consistent with section 863 of </w:t>
            </w:r>
            <w:r>
              <w:rPr>
                <w:shd w:val="clear" w:color="auto" w:fill="FFFFFF"/>
              </w:rPr>
              <w:t>National Defense Authorization Act for FY 2009. </w:t>
            </w:r>
            <w:r>
              <w:t xml:space="preserve">  </w:t>
            </w:r>
            <w:r>
              <w:br w:type="textWrapping" w:clear="all"/>
            </w:r>
          </w:p>
        </w:tc>
        <w:tc>
          <w:tcPr>
            <w:tcW w:w="1350" w:type="dxa"/>
          </w:tcPr>
          <w:p w:rsidR="005D1F14" w:rsidRDefault="008B7D27">
            <w:r>
              <w:t>Spring 2012</w:t>
            </w:r>
          </w:p>
        </w:tc>
        <w:tc>
          <w:tcPr>
            <w:tcW w:w="1440" w:type="dxa"/>
          </w:tcPr>
          <w:p w:rsidR="005D1F14" w:rsidRDefault="008B7D27">
            <w:r>
              <w:t>Improved economy and efficiency</w:t>
            </w:r>
          </w:p>
          <w:p w:rsidR="008B7D27" w:rsidRDefault="008B7D27"/>
          <w:p w:rsidR="008B7D27" w:rsidRDefault="008B7D27">
            <w:r>
              <w:t>Reduced exposure to high risk</w:t>
            </w:r>
          </w:p>
        </w:tc>
        <w:tc>
          <w:tcPr>
            <w:tcW w:w="2610" w:type="dxa"/>
          </w:tcPr>
          <w:p w:rsidR="005D1F14" w:rsidRDefault="008B7D27" w:rsidP="00AE3DCF">
            <w:r>
              <w:rPr>
                <w:shd w:val="clear" w:color="auto" w:fill="FFFFFF"/>
              </w:rPr>
              <w:t>After careful consideration of public comments, FAR Case 2007-012 "Requirements for Acquisitions Pursuant to Multiple-Award Contracts" will be published as a final rule in February 2012.</w:t>
            </w:r>
          </w:p>
        </w:tc>
        <w:tc>
          <w:tcPr>
            <w:tcW w:w="1800" w:type="dxa"/>
          </w:tcPr>
          <w:p w:rsidR="005D1F14" w:rsidRDefault="005D1F14"/>
        </w:tc>
      </w:tr>
    </w:tbl>
    <w:p w:rsidR="009A6AA5" w:rsidRDefault="009A6AA5"/>
    <w:sectPr w:rsidR="009A6AA5" w:rsidSect="005D1F14">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Bold">
    <w:altName w:val="Courier Ne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339FB"/>
    <w:multiLevelType w:val="hybridMultilevel"/>
    <w:tmpl w:val="F9EC9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5D1F14"/>
    <w:rsid w:val="000662D3"/>
    <w:rsid w:val="00190863"/>
    <w:rsid w:val="001E4CEE"/>
    <w:rsid w:val="002424EA"/>
    <w:rsid w:val="00264462"/>
    <w:rsid w:val="00276BAD"/>
    <w:rsid w:val="002C530F"/>
    <w:rsid w:val="003129C3"/>
    <w:rsid w:val="00324FC8"/>
    <w:rsid w:val="00325BD3"/>
    <w:rsid w:val="003A75B3"/>
    <w:rsid w:val="00463862"/>
    <w:rsid w:val="00557AF0"/>
    <w:rsid w:val="005859CD"/>
    <w:rsid w:val="005D1F14"/>
    <w:rsid w:val="005E0FCE"/>
    <w:rsid w:val="006C496E"/>
    <w:rsid w:val="006F1DCE"/>
    <w:rsid w:val="0070619F"/>
    <w:rsid w:val="007C3663"/>
    <w:rsid w:val="007D22EC"/>
    <w:rsid w:val="00832A5D"/>
    <w:rsid w:val="00875710"/>
    <w:rsid w:val="00897BF3"/>
    <w:rsid w:val="008B7D27"/>
    <w:rsid w:val="009165B7"/>
    <w:rsid w:val="00990C17"/>
    <w:rsid w:val="009915FC"/>
    <w:rsid w:val="009A6AA5"/>
    <w:rsid w:val="009B5095"/>
    <w:rsid w:val="009B762A"/>
    <w:rsid w:val="00A978BC"/>
    <w:rsid w:val="00AD382F"/>
    <w:rsid w:val="00AE0E8A"/>
    <w:rsid w:val="00AE3DCF"/>
    <w:rsid w:val="00BC7264"/>
    <w:rsid w:val="00D87EBB"/>
    <w:rsid w:val="00E54AAC"/>
    <w:rsid w:val="00EB6FFA"/>
    <w:rsid w:val="00F96F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0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1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6BAD"/>
    <w:pPr>
      <w:ind w:left="720"/>
      <w:contextualSpacing/>
    </w:pPr>
  </w:style>
  <w:style w:type="character" w:styleId="CommentReference">
    <w:name w:val="annotation reference"/>
    <w:basedOn w:val="DefaultParagraphFont"/>
    <w:uiPriority w:val="99"/>
    <w:semiHidden/>
    <w:unhideWhenUsed/>
    <w:rsid w:val="009B762A"/>
    <w:rPr>
      <w:sz w:val="16"/>
      <w:szCs w:val="16"/>
    </w:rPr>
  </w:style>
  <w:style w:type="paragraph" w:styleId="CommentText">
    <w:name w:val="annotation text"/>
    <w:basedOn w:val="Normal"/>
    <w:link w:val="CommentTextChar"/>
    <w:uiPriority w:val="99"/>
    <w:semiHidden/>
    <w:unhideWhenUsed/>
    <w:rsid w:val="009B762A"/>
    <w:pPr>
      <w:spacing w:line="240" w:lineRule="auto"/>
    </w:pPr>
    <w:rPr>
      <w:sz w:val="20"/>
      <w:szCs w:val="20"/>
    </w:rPr>
  </w:style>
  <w:style w:type="character" w:customStyle="1" w:styleId="CommentTextChar">
    <w:name w:val="Comment Text Char"/>
    <w:basedOn w:val="DefaultParagraphFont"/>
    <w:link w:val="CommentText"/>
    <w:uiPriority w:val="99"/>
    <w:semiHidden/>
    <w:rsid w:val="009B762A"/>
    <w:rPr>
      <w:sz w:val="20"/>
      <w:szCs w:val="20"/>
    </w:rPr>
  </w:style>
  <w:style w:type="paragraph" w:styleId="CommentSubject">
    <w:name w:val="annotation subject"/>
    <w:basedOn w:val="CommentText"/>
    <w:next w:val="CommentText"/>
    <w:link w:val="CommentSubjectChar"/>
    <w:uiPriority w:val="99"/>
    <w:semiHidden/>
    <w:unhideWhenUsed/>
    <w:rsid w:val="009B762A"/>
    <w:rPr>
      <w:b/>
      <w:bCs/>
    </w:rPr>
  </w:style>
  <w:style w:type="character" w:customStyle="1" w:styleId="CommentSubjectChar">
    <w:name w:val="Comment Subject Char"/>
    <w:basedOn w:val="CommentTextChar"/>
    <w:link w:val="CommentSubject"/>
    <w:uiPriority w:val="99"/>
    <w:semiHidden/>
    <w:rsid w:val="009B762A"/>
    <w:rPr>
      <w:b/>
      <w:bCs/>
      <w:sz w:val="20"/>
      <w:szCs w:val="20"/>
    </w:rPr>
  </w:style>
  <w:style w:type="paragraph" w:styleId="BalloonText">
    <w:name w:val="Balloon Text"/>
    <w:basedOn w:val="Normal"/>
    <w:link w:val="BalloonTextChar"/>
    <w:uiPriority w:val="99"/>
    <w:semiHidden/>
    <w:unhideWhenUsed/>
    <w:rsid w:val="009B7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6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1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6BAD"/>
    <w:pPr>
      <w:ind w:left="720"/>
      <w:contextualSpacing/>
    </w:pPr>
  </w:style>
  <w:style w:type="character" w:styleId="CommentReference">
    <w:name w:val="annotation reference"/>
    <w:basedOn w:val="DefaultParagraphFont"/>
    <w:uiPriority w:val="99"/>
    <w:semiHidden/>
    <w:unhideWhenUsed/>
    <w:rsid w:val="009B762A"/>
    <w:rPr>
      <w:sz w:val="16"/>
      <w:szCs w:val="16"/>
    </w:rPr>
  </w:style>
  <w:style w:type="paragraph" w:styleId="CommentText">
    <w:name w:val="annotation text"/>
    <w:basedOn w:val="Normal"/>
    <w:link w:val="CommentTextChar"/>
    <w:uiPriority w:val="99"/>
    <w:semiHidden/>
    <w:unhideWhenUsed/>
    <w:rsid w:val="009B762A"/>
    <w:pPr>
      <w:spacing w:line="240" w:lineRule="auto"/>
    </w:pPr>
    <w:rPr>
      <w:sz w:val="20"/>
      <w:szCs w:val="20"/>
    </w:rPr>
  </w:style>
  <w:style w:type="character" w:customStyle="1" w:styleId="CommentTextChar">
    <w:name w:val="Comment Text Char"/>
    <w:basedOn w:val="DefaultParagraphFont"/>
    <w:link w:val="CommentText"/>
    <w:uiPriority w:val="99"/>
    <w:semiHidden/>
    <w:rsid w:val="009B762A"/>
    <w:rPr>
      <w:sz w:val="20"/>
      <w:szCs w:val="20"/>
    </w:rPr>
  </w:style>
  <w:style w:type="paragraph" w:styleId="CommentSubject">
    <w:name w:val="annotation subject"/>
    <w:basedOn w:val="CommentText"/>
    <w:next w:val="CommentText"/>
    <w:link w:val="CommentSubjectChar"/>
    <w:uiPriority w:val="99"/>
    <w:semiHidden/>
    <w:unhideWhenUsed/>
    <w:rsid w:val="009B762A"/>
    <w:rPr>
      <w:b/>
      <w:bCs/>
    </w:rPr>
  </w:style>
  <w:style w:type="character" w:customStyle="1" w:styleId="CommentSubjectChar">
    <w:name w:val="Comment Subject Char"/>
    <w:basedOn w:val="CommentTextChar"/>
    <w:link w:val="CommentSubject"/>
    <w:uiPriority w:val="99"/>
    <w:semiHidden/>
    <w:rsid w:val="009B762A"/>
    <w:rPr>
      <w:b/>
      <w:bCs/>
      <w:sz w:val="20"/>
      <w:szCs w:val="20"/>
    </w:rPr>
  </w:style>
  <w:style w:type="paragraph" w:styleId="BalloonText">
    <w:name w:val="Balloon Text"/>
    <w:basedOn w:val="Normal"/>
    <w:link w:val="BalloonTextChar"/>
    <w:uiPriority w:val="99"/>
    <w:semiHidden/>
    <w:unhideWhenUsed/>
    <w:rsid w:val="009B7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6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3000581">
      <w:bodyDiv w:val="1"/>
      <w:marLeft w:val="0"/>
      <w:marRight w:val="0"/>
      <w:marTop w:val="0"/>
      <w:marBottom w:val="0"/>
      <w:divBdr>
        <w:top w:val="none" w:sz="0" w:space="0" w:color="auto"/>
        <w:left w:val="none" w:sz="0" w:space="0" w:color="auto"/>
        <w:bottom w:val="none" w:sz="0" w:space="0" w:color="auto"/>
        <w:right w:val="none" w:sz="0" w:space="0" w:color="auto"/>
      </w:divBdr>
    </w:div>
    <w:div w:id="197047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6B3B4-8A66-43E8-9117-9431F5D9C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Blum, Mathew C.</dc:creator>
  <cp:lastModifiedBy>GladysPoindexter</cp:lastModifiedBy>
  <cp:revision>2</cp:revision>
  <cp:lastPrinted>2012-01-23T12:04:00Z</cp:lastPrinted>
  <dcterms:created xsi:type="dcterms:W3CDTF">2012-01-23T19:36:00Z</dcterms:created>
  <dcterms:modified xsi:type="dcterms:W3CDTF">2012-01-23T19:36:00Z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-124818483</vt:i4>
  </property>
  <property fmtid="{D5CDD505-2E9C-101B-9397-08002B2CF9AE}" pid="3" name="_NewReviewCycle">
    <vt:lpwstr/>
  </property>
  <property fmtid="{D5CDD505-2E9C-101B-9397-08002B2CF9AE}" pid="4" name="_EmailSubject">
    <vt:lpwstr>Posting of Retrospective Plan Status Report</vt:lpwstr>
  </property>
  <property fmtid="{D5CDD505-2E9C-101B-9397-08002B2CF9AE}" pid="5" name="_AuthorEmail">
    <vt:lpwstr>Mathew_C._Blum@omb.eop.gov</vt:lpwstr>
  </property>
  <property fmtid="{D5CDD505-2E9C-101B-9397-08002B2CF9AE}" pid="6" name="_AuthorEmailDisplayName">
    <vt:lpwstr>Blum, Mathew C.</vt:lpwstr>
  </property>
  <property fmtid="{D5CDD505-2E9C-101B-9397-08002B2CF9AE}" pid="7" name="_PreviousAdHocReviewCycleID">
    <vt:i4>-237283737</vt:i4>
  </property>
  <property fmtid="{D5CDD505-2E9C-101B-9397-08002B2CF9AE}" pid="8" name="_ReviewingToolsShownOnce">
    <vt:lpwstr/>
  </property>
</Properties>
</file>